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78" w:rsidRDefault="00B32878" w:rsidP="00B3287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</w:pPr>
      <w:proofErr w:type="spellStart"/>
      <w:r w:rsidRPr="00B32878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>Промоакция</w:t>
      </w:r>
      <w:proofErr w:type="spellEnd"/>
      <w:r w:rsidRPr="00B32878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на игровые процессоры серии H</w:t>
      </w:r>
      <w:r w:rsidRPr="00B32878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br/>
        <w:t>Положения и условия</w:t>
      </w:r>
    </w:p>
    <w:p w:rsidR="00B32878" w:rsidRPr="00B32878" w:rsidRDefault="00B32878" w:rsidP="00B32878">
      <w:pPr>
        <w:shd w:val="clear" w:color="auto" w:fill="FFFFFF"/>
        <w:spacing w:after="0" w:line="360" w:lineRule="atLeast"/>
        <w:jc w:val="center"/>
        <w:textAlignment w:val="baseline"/>
        <w:rPr>
          <w:rFonts w:ascii="Intel Clear" w:eastAsia="Times New Roman" w:hAnsi="Intel Clear" w:cs="Intel Clear"/>
          <w:sz w:val="24"/>
          <w:szCs w:val="24"/>
          <w:lang w:val="ru-RU" w:eastAsia="ru-RU"/>
        </w:rPr>
      </w:pPr>
    </w:p>
    <w:p w:rsidR="00B32878" w:rsidRPr="00B32878" w:rsidRDefault="00B32878" w:rsidP="00B3287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Настоящая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Промоакция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регулируется данными положениями и условиями (далее «Условия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») и положениями и условиями программы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®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Technology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Provider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(далее «Программа ITP»), включая Приложение A «Положения и условия начисления баллов» (далее «Условия программы ITP»), включенными в данный документ и опубликованными по адресу: </w:t>
      </w:r>
      <w:hyperlink r:id="rId7" w:history="1">
        <w:r w:rsidRPr="00B32878">
          <w:rPr>
            <w:rFonts w:ascii="Intel Clear" w:eastAsia="Times New Roman" w:hAnsi="Intel Clear" w:cs="Intel Clear"/>
            <w:color w:val="0860A8"/>
            <w:sz w:val="21"/>
            <w:szCs w:val="21"/>
            <w:bdr w:val="none" w:sz="0" w:space="0" w:color="auto" w:frame="1"/>
            <w:lang w:val="ru-RU" w:eastAsia="ru-RU"/>
          </w:rPr>
          <w:t>https://www.intel.ru/content/www/ru/ru/technology-provider/legal/program-terms-and-conditions.html</w:t>
        </w:r>
      </w:hyperlink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. Условия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 Условия программы ITP совместно именуются «Правила».</w:t>
      </w:r>
    </w:p>
    <w:p w:rsidR="00B32878" w:rsidRPr="00B32878" w:rsidRDefault="00B32878" w:rsidP="00B3287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Настоящая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Промоакция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проводится с 1 октября</w:t>
      </w:r>
      <w:r w:rsidR="00653493" w:rsidRPr="00653493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2017 </w:t>
      </w:r>
      <w:r w:rsidR="00653493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года</w:t>
      </w:r>
      <w:bookmarkStart w:id="0" w:name="_GoBack"/>
      <w:bookmarkEnd w:id="0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по 31 марта 2018 года (далее «Период проведения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»). Участвовать в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имеют право активные партнеры Программы ITP уровня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Platinum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,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Gold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Registered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в регионе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EMEA (Европа, Ближний Восток и Африка) (далее «Правомочные партнеры в регионе EMEA»).</w:t>
      </w:r>
    </w:p>
    <w:p w:rsidR="00B32878" w:rsidRPr="00B32878" w:rsidRDefault="00B32878" w:rsidP="00B3287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начисляет Правомочным партнерам следующее количество Баллов за приобретение за каждую из перечисленных ниже систем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(далее «Участвующие в акции системы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») у утвержденного поставщика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® (далее «IAS») в течение Периода проведения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:</w:t>
      </w:r>
    </w:p>
    <w:tbl>
      <w:tblPr>
        <w:tblW w:w="5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834"/>
        <w:gridCol w:w="1741"/>
      </w:tblGrid>
      <w:tr w:rsidR="00B32878" w:rsidRPr="00B32878" w:rsidTr="00B32878">
        <w:trPr>
          <w:trHeight w:val="990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71C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b/>
                <w:bCs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b/>
                <w:bCs/>
                <w:color w:val="FFFFFF"/>
                <w:sz w:val="21"/>
                <w:szCs w:val="21"/>
                <w:bdr w:val="none" w:sz="0" w:space="0" w:color="auto" w:frame="1"/>
                <w:lang w:val="ru-RU" w:eastAsia="ru-RU"/>
              </w:rPr>
              <w:t>Торговая марка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71C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b/>
                <w:bCs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b/>
                <w:bCs/>
                <w:color w:val="FFFFFF"/>
                <w:sz w:val="21"/>
                <w:szCs w:val="21"/>
                <w:bdr w:val="none" w:sz="0" w:space="0" w:color="auto" w:frame="1"/>
                <w:lang w:val="ru-RU" w:eastAsia="ru-RU"/>
              </w:rPr>
              <w:t>Процессор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71C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b/>
                <w:bCs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b/>
                <w:bCs/>
                <w:color w:val="FFFFFF"/>
                <w:sz w:val="21"/>
                <w:szCs w:val="21"/>
                <w:bdr w:val="none" w:sz="0" w:space="0" w:color="auto" w:frame="1"/>
                <w:lang w:val="ru-RU" w:eastAsia="ru-RU"/>
              </w:rPr>
              <w:t>Бонусные баллы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i3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i3-7100H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i5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i5-7300HQ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i5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i5-7440HQ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i7-7700HQ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i7-7820HK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i7-7820HQ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  <w:tr w:rsidR="00B32878" w:rsidRPr="00B32878" w:rsidTr="00B32878">
        <w:trPr>
          <w:trHeight w:val="660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proofErr w:type="spellStart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Core</w:t>
            </w:r>
            <w:proofErr w:type="spellEnd"/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 xml:space="preserve"> i7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i7-7920HQ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32878" w:rsidRPr="00B32878" w:rsidRDefault="00B32878" w:rsidP="00B32878">
            <w:pPr>
              <w:spacing w:after="0" w:line="240" w:lineRule="auto"/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</w:pPr>
            <w:r w:rsidRPr="00B32878">
              <w:rPr>
                <w:rFonts w:ascii="inherit" w:eastAsia="Times New Roman" w:hAnsi="inherit" w:cs="Intel Clear"/>
                <w:color w:val="222222"/>
                <w:sz w:val="21"/>
                <w:szCs w:val="21"/>
                <w:lang w:val="ru-RU" w:eastAsia="ru-RU"/>
              </w:rPr>
              <w:t>20</w:t>
            </w:r>
          </w:p>
        </w:tc>
      </w:tr>
    </w:tbl>
    <w:p w:rsidR="00B32878" w:rsidRPr="00B32878" w:rsidRDefault="00B32878" w:rsidP="00B3287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При расчете количества баллов, начисляемых за приобретение Участвующей в акции продукции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, используется дата выставления счета-фактуры за Участвующую в акции продукцию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.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начисляет Баллы, заработанные в рамках настоящей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, в течение 60 (шестидесяти) дней после окончания Периода проведения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при условии соблюдения Правомочным партнером настоящих Правил.</w:t>
      </w:r>
    </w:p>
    <w:p w:rsidR="00B32878" w:rsidRPr="00B32878" w:rsidRDefault="00B32878" w:rsidP="00B3287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Правомочные партнеры:</w:t>
      </w: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br/>
      </w:r>
    </w:p>
    <w:p w:rsidR="00B32878" w:rsidRP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имеют право заработать неограниченное количество баллов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</w:t>
      </w:r>
    </w:p>
    <w:p w:rsidR="00B32878" w:rsidRP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имеют право комбинировать данную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Промоакцию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 с другими акциями начисления Баллов;</w:t>
      </w:r>
    </w:p>
    <w:p w:rsidR="00B32878" w:rsidRP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lastRenderedPageBreak/>
        <w:t xml:space="preserve">не имеют права комбинировать настоящую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Промоакцию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 с другими скидками или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промоакциями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 на Участвующую в акции продукцию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, предлагаемыми как Правомочному партнеру, так и третьим лицам от имени такого Партнера, на основании уведомления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</w:t>
      </w:r>
    </w:p>
    <w:p w:rsidR="00B32878" w:rsidRP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не имеют права передавать Баллы, начисленные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</w:t>
      </w:r>
    </w:p>
    <w:p w:rsid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не имеют права обменивать на денежный эквивалент Баллы, начисленные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.</w:t>
      </w:r>
    </w:p>
    <w:p w:rsidR="00B32878" w:rsidRPr="00B32878" w:rsidRDefault="00B32878" w:rsidP="00B3287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</w:p>
    <w:p w:rsidR="00B32878" w:rsidRPr="00B32878" w:rsidRDefault="00B32878" w:rsidP="00B3287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Не отказываясь от каких-либо других прав и средств правовой защиты, предоставляемых по настоящим Правилам, и </w:t>
      </w:r>
      <w:proofErr w:type="gram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любых других прав</w:t>
      </w:r>
      <w:proofErr w:type="gram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 средств правовой защиты, предоставляемых по закону, в случае несоблюдения Правомочным партнером настоящих Правил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имеет право: </w:t>
      </w: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br/>
      </w:r>
    </w:p>
    <w:p w:rsidR="00B32878" w:rsidRPr="00B32878" w:rsidRDefault="00B32878" w:rsidP="00B32878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удержать Баллы, подлежащие начислению Правомочному партнеру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 </w:t>
      </w:r>
    </w:p>
    <w:p w:rsidR="00B32878" w:rsidRPr="00B32878" w:rsidRDefault="00B32878" w:rsidP="00B32878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изменить количество Баллов, подлежащих начислению Правомочному партнеру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</w:t>
      </w:r>
    </w:p>
    <w:p w:rsidR="00B32878" w:rsidRPr="00B32878" w:rsidRDefault="00B32878" w:rsidP="00B32878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отказать Партнеру в использовании Баллов, начисленных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;</w:t>
      </w:r>
    </w:p>
    <w:p w:rsidR="00B32878" w:rsidRPr="00B32878" w:rsidRDefault="00B32878" w:rsidP="00B32878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полностью или частично зачесть Баллы, начисленные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, в счет существующих или будущих кредитных заявлений Правомочного партнера и/или</w:t>
      </w:r>
    </w:p>
    <w:p w:rsidR="00B32878" w:rsidRDefault="00B32878" w:rsidP="00B32878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получить возврат всех или части Баллов, начисленных в рамках настоящей </w:t>
      </w:r>
      <w:proofErr w:type="spellStart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 xml:space="preserve"> и уже использованных Правомочным партнером.</w:t>
      </w:r>
    </w:p>
    <w:p w:rsidR="00B32878" w:rsidRPr="00B32878" w:rsidRDefault="00B32878" w:rsidP="00B328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</w:p>
    <w:p w:rsidR="00B32878" w:rsidRPr="00B32878" w:rsidRDefault="00B32878" w:rsidP="00B3287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При наличии перевода настоящих Правил преимущественную силу имеет англоязычная версия. В случае возникновения противоречий между Условиями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 Условиями программы ITP Условия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имеют преимущественную силу. Положения лицензионных соглашений на использование товарного знака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и/или лицензионных соглашений на использование логотипа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имеют преимущественную силу по отношению к Условиям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в связи с предметом данных соглашений. Стандартные положения и условия продаж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действуют в отношении всех сделок между Правомочным партнером и корпорацией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, связанных с приобретением продукции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или использованием Баллов, и имеют преимущественную силу перед любыми другими соглашениями, кроме составленных в письменном виде и подписанных уполномоченным представителем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.</w:t>
      </w:r>
    </w:p>
    <w:p w:rsidR="00B32878" w:rsidRPr="00B32878" w:rsidRDefault="00B32878" w:rsidP="00B3287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Термины, написанные с заглавной буквы, но не определенные в настоящих Условиях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, имеют значение, определенное в Условиях программы ITP.</w:t>
      </w:r>
    </w:p>
    <w:p w:rsidR="00B32878" w:rsidRPr="00B32878" w:rsidRDefault="00B32878" w:rsidP="00B3287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Принятие Правомочным партнером Баллов в рамках настоящей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означает его согласие с текстом настоящих Условий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.</w:t>
      </w:r>
    </w:p>
    <w:p w:rsidR="00B32878" w:rsidRPr="00B32878" w:rsidRDefault="00B32878" w:rsidP="00B3287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Корпорация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сохраняет за собой право изменять условия, приостанавливать или отменять проведение настоящей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в любое время по любой причине с незамедлительным вступлением в силу, не отказываясь ни от каких прав, уже приобретенных в рамках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Промоакции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, но не принимая на себя никакой ответственности в дальнейшем. </w:t>
      </w:r>
      <w:proofErr w:type="spellStart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</w:t>
      </w:r>
      <w:proofErr w:type="spellEnd"/>
      <w:r w:rsidRPr="00B32878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 обязуется уведомить о таких изменениях Клиента в любой форме.</w:t>
      </w:r>
    </w:p>
    <w:p w:rsidR="00592E10" w:rsidRPr="00B32878" w:rsidRDefault="00592E10" w:rsidP="00B32878">
      <w:pPr>
        <w:rPr>
          <w:lang w:val="ru-RU"/>
        </w:rPr>
      </w:pPr>
    </w:p>
    <w:sectPr w:rsidR="00592E10" w:rsidRPr="00B328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EA" w:rsidRDefault="00632BEA">
      <w:pPr>
        <w:spacing w:after="0" w:line="240" w:lineRule="auto"/>
      </w:pPr>
      <w:r>
        <w:separator/>
      </w:r>
    </w:p>
  </w:endnote>
  <w:endnote w:type="continuationSeparator" w:id="0">
    <w:p w:rsidR="00632BEA" w:rsidRDefault="006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tel Clear">
    <w:altName w:val="Arial"/>
    <w:charset w:val="CC"/>
    <w:family w:val="swiss"/>
    <w:pitch w:val="variable"/>
    <w:sig w:usb0="00000001" w:usb1="400060F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135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957A1F" w:rsidRPr="00957A1F" w:rsidRDefault="00677FF0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957A1F">
          <w:rPr>
            <w:rFonts w:ascii="Arial" w:hAnsi="Arial" w:cs="Arial"/>
            <w:sz w:val="20"/>
            <w:szCs w:val="20"/>
          </w:rPr>
          <w:fldChar w:fldCharType="begin"/>
        </w:r>
        <w:r w:rsidRPr="00957A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7A1F">
          <w:rPr>
            <w:rFonts w:ascii="Arial" w:hAnsi="Arial" w:cs="Arial"/>
            <w:sz w:val="20"/>
            <w:szCs w:val="20"/>
          </w:rPr>
          <w:fldChar w:fldCharType="separate"/>
        </w:r>
        <w:r w:rsidR="00653493">
          <w:rPr>
            <w:rFonts w:ascii="Arial" w:hAnsi="Arial" w:cs="Arial"/>
            <w:noProof/>
            <w:sz w:val="20"/>
            <w:szCs w:val="20"/>
          </w:rPr>
          <w:t>2</w:t>
        </w:r>
        <w:r w:rsidRPr="00957A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57A1F" w:rsidRDefault="00632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EA" w:rsidRDefault="00632BEA">
      <w:pPr>
        <w:spacing w:after="0" w:line="240" w:lineRule="auto"/>
      </w:pPr>
      <w:r>
        <w:separator/>
      </w:r>
    </w:p>
  </w:footnote>
  <w:footnote w:type="continuationSeparator" w:id="0">
    <w:p w:rsidR="00632BEA" w:rsidRDefault="0063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979"/>
    <w:multiLevelType w:val="hybridMultilevel"/>
    <w:tmpl w:val="B4D8444C"/>
    <w:lvl w:ilvl="0" w:tplc="0B5ADC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87D"/>
    <w:multiLevelType w:val="hybridMultilevel"/>
    <w:tmpl w:val="820226C6"/>
    <w:lvl w:ilvl="0" w:tplc="E53843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262"/>
    <w:multiLevelType w:val="multilevel"/>
    <w:tmpl w:val="540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94538"/>
    <w:multiLevelType w:val="hybridMultilevel"/>
    <w:tmpl w:val="28EAF864"/>
    <w:lvl w:ilvl="0" w:tplc="44803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B23"/>
    <w:multiLevelType w:val="hybridMultilevel"/>
    <w:tmpl w:val="F3EAE498"/>
    <w:lvl w:ilvl="0" w:tplc="338E2E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76B"/>
    <w:multiLevelType w:val="hybridMultilevel"/>
    <w:tmpl w:val="86561B32"/>
    <w:lvl w:ilvl="0" w:tplc="9C120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18CB"/>
    <w:multiLevelType w:val="multilevel"/>
    <w:tmpl w:val="8CCA9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D6014"/>
    <w:multiLevelType w:val="hybridMultilevel"/>
    <w:tmpl w:val="346EDE58"/>
    <w:lvl w:ilvl="0" w:tplc="8CAAF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88E"/>
    <w:multiLevelType w:val="hybridMultilevel"/>
    <w:tmpl w:val="FE3E3DA6"/>
    <w:lvl w:ilvl="0" w:tplc="C37294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4B9"/>
    <w:multiLevelType w:val="hybridMultilevel"/>
    <w:tmpl w:val="ED461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2B5"/>
    <w:multiLevelType w:val="hybridMultilevel"/>
    <w:tmpl w:val="E1E83430"/>
    <w:lvl w:ilvl="0" w:tplc="5024D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5754"/>
    <w:multiLevelType w:val="hybridMultilevel"/>
    <w:tmpl w:val="F1BC6900"/>
    <w:lvl w:ilvl="0" w:tplc="52226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B6C27"/>
    <w:multiLevelType w:val="hybridMultilevel"/>
    <w:tmpl w:val="E5A0DC32"/>
    <w:lvl w:ilvl="0" w:tplc="41886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E6B"/>
    <w:multiLevelType w:val="hybridMultilevel"/>
    <w:tmpl w:val="65CA7426"/>
    <w:lvl w:ilvl="0" w:tplc="664E42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6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014B2"/>
    <w:rsid w:val="00012D9E"/>
    <w:rsid w:val="000430C9"/>
    <w:rsid w:val="00045D4D"/>
    <w:rsid w:val="000A5AA4"/>
    <w:rsid w:val="000D421E"/>
    <w:rsid w:val="0010550D"/>
    <w:rsid w:val="00122015"/>
    <w:rsid w:val="00264EFA"/>
    <w:rsid w:val="002F1D02"/>
    <w:rsid w:val="002F2F16"/>
    <w:rsid w:val="00381E2B"/>
    <w:rsid w:val="00382F7B"/>
    <w:rsid w:val="00392A33"/>
    <w:rsid w:val="004406E1"/>
    <w:rsid w:val="00456F4E"/>
    <w:rsid w:val="004E3A01"/>
    <w:rsid w:val="005124C3"/>
    <w:rsid w:val="00592E10"/>
    <w:rsid w:val="005A0C63"/>
    <w:rsid w:val="00632BEA"/>
    <w:rsid w:val="00646882"/>
    <w:rsid w:val="00653493"/>
    <w:rsid w:val="00677FF0"/>
    <w:rsid w:val="006932B6"/>
    <w:rsid w:val="00694B06"/>
    <w:rsid w:val="007226E2"/>
    <w:rsid w:val="00752714"/>
    <w:rsid w:val="00760530"/>
    <w:rsid w:val="007F19ED"/>
    <w:rsid w:val="008748A5"/>
    <w:rsid w:val="00895C07"/>
    <w:rsid w:val="008B0071"/>
    <w:rsid w:val="008C2723"/>
    <w:rsid w:val="00991359"/>
    <w:rsid w:val="00A51643"/>
    <w:rsid w:val="00B32878"/>
    <w:rsid w:val="00B32FA4"/>
    <w:rsid w:val="00B45C2E"/>
    <w:rsid w:val="00BF6FE7"/>
    <w:rsid w:val="00C301E6"/>
    <w:rsid w:val="00DC1B82"/>
    <w:rsid w:val="00E10BD4"/>
    <w:rsid w:val="00E17E64"/>
    <w:rsid w:val="00E302FB"/>
    <w:rsid w:val="00E337DD"/>
    <w:rsid w:val="00E87CF2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CFB2-87E6-4EBB-AB89-9DDFF91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10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592E1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2E10"/>
    <w:rPr>
      <w:lang w:val="en-GB"/>
    </w:rPr>
  </w:style>
  <w:style w:type="character" w:styleId="a6">
    <w:name w:val="Hyperlink"/>
    <w:basedOn w:val="a0"/>
    <w:uiPriority w:val="99"/>
    <w:unhideWhenUsed/>
    <w:rsid w:val="00592E10"/>
    <w:rPr>
      <w:color w:val="0563C1" w:themeColor="hyperlink"/>
      <w:u w:val="single"/>
    </w:rPr>
  </w:style>
  <w:style w:type="table" w:customStyle="1" w:styleId="GridTable4-Accent11">
    <w:name w:val="Grid Table 4 - Accent 11"/>
    <w:basedOn w:val="a1"/>
    <w:uiPriority w:val="49"/>
    <w:rsid w:val="007226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7">
    <w:name w:val="Table Grid"/>
    <w:basedOn w:val="a1"/>
    <w:uiPriority w:val="59"/>
    <w:rsid w:val="001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a1"/>
    <w:uiPriority w:val="46"/>
    <w:rsid w:val="001220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1220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Strong"/>
    <w:basedOn w:val="a0"/>
    <w:uiPriority w:val="22"/>
    <w:qFormat/>
    <w:rsid w:val="00E337DD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2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356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2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52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710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8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23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3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270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9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4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212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6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392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167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82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078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3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52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5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1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1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480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tel.ru/content/www/ru/ru/technology-provider/legal/program-terms-and-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KateX</dc:creator>
  <cp:lastModifiedBy>Karpikov Evgeniy</cp:lastModifiedBy>
  <cp:revision>3</cp:revision>
  <dcterms:created xsi:type="dcterms:W3CDTF">2018-01-17T09:03:00Z</dcterms:created>
  <dcterms:modified xsi:type="dcterms:W3CDTF">2018-03-14T10:01:00Z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35cb8e3c-1cb0-4461-8d57-3bd02e3f0d55</vt:lpwstr>
  </property>
  <property fmtid="{D5CDD505-2E9C-101B-9397-08002B2CF9AE}" pid="3" name="CTPClassification">
    <vt:lpwstr>CTP_NT</vt:lpwstr>
  </property>
</Properties>
</file>